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9E5797" w:rsidRDefault="009E5797" w:rsidP="009E5797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6419C3" w:rsidP="006419C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419C3" w:rsidRDefault="009E5797" w:rsidP="009E5797">
      <w:pPr>
        <w:tabs>
          <w:tab w:val="center" w:pos="6480"/>
          <w:tab w:val="left" w:pos="8425"/>
        </w:tabs>
        <w:bidi/>
        <w:spacing w:after="0"/>
        <w:jc w:val="center"/>
        <w:rPr>
          <w:b/>
          <w:bCs/>
          <w:sz w:val="28"/>
          <w:szCs w:val="28"/>
          <w:u w:val="single"/>
          <w:lang w:val="fr-FR"/>
        </w:rPr>
      </w:pP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2</w:t>
      </w:r>
      <w:r w:rsidR="005B7A2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</w:t>
      </w:r>
      <w:r w:rsidR="00EB4BA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</w:t>
      </w:r>
      <w:r w:rsidR="00EB4BA5"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Sciences</w:t>
      </w:r>
      <w:r w:rsidR="005B7A2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</w:t>
      </w:r>
      <w:r w:rsidR="005B7A2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30→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20periodes) </w:t>
      </w:r>
      <w:proofErr w:type="spellStart"/>
      <w:r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 w:rsidRPr="009E579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-allégés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-2020 _</w:t>
      </w:r>
    </w:p>
    <w:p w:rsidR="002C2494" w:rsidRDefault="002C2494" w:rsidP="009E5797">
      <w:pPr>
        <w:tabs>
          <w:tab w:val="center" w:pos="6793"/>
        </w:tabs>
        <w:spacing w:after="0"/>
        <w:jc w:val="center"/>
        <w:rPr>
          <w:b/>
          <w:bCs/>
          <w:sz w:val="28"/>
          <w:szCs w:val="28"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(محاسبة و معلوماتية- أمانة سر- بيع و علاقات- صياغة مجوهرات)</w:t>
      </w:r>
    </w:p>
    <w:p w:rsidR="002C2494" w:rsidRPr="00D41410" w:rsidRDefault="009E5797" w:rsidP="00D30087">
      <w:pPr>
        <w:spacing w:after="0" w:line="240" w:lineRule="auto"/>
        <w:rPr>
          <w:b/>
          <w:bCs/>
          <w:sz w:val="24"/>
          <w:szCs w:val="24"/>
          <w:lang w:val="fr-FR"/>
        </w:rPr>
      </w:pPr>
      <w:r w:rsidRPr="00D3008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Physique</w:t>
      </w:r>
      <w:r w:rsidR="002C2494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Chapitre – </w:t>
      </w:r>
      <w:r w:rsidR="002C2494" w:rsidRPr="00C65D0C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2C2494"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- Les lentilles</w:t>
      </w:r>
    </w:p>
    <w:tbl>
      <w:tblPr>
        <w:tblStyle w:val="TableGrid"/>
        <w:tblpPr w:leftFromText="180" w:rightFromText="180" w:vertAnchor="text" w:horzAnchor="margin" w:tblpXSpec="center" w:tblpY="36"/>
        <w:tblOverlap w:val="never"/>
        <w:tblW w:w="15877" w:type="dxa"/>
        <w:tblLayout w:type="fixed"/>
        <w:tblLook w:val="04A0"/>
      </w:tblPr>
      <w:tblGrid>
        <w:gridCol w:w="3545"/>
        <w:gridCol w:w="5812"/>
        <w:gridCol w:w="6520"/>
      </w:tblGrid>
      <w:tr w:rsidR="000D3B27" w:rsidTr="000D3B27">
        <w:tc>
          <w:tcPr>
            <w:tcW w:w="3545" w:type="dxa"/>
          </w:tcPr>
          <w:p w:rsidR="000D3B27" w:rsidRPr="009C36B0" w:rsidRDefault="000D3B27" w:rsidP="000D3B27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812" w:type="dxa"/>
          </w:tcPr>
          <w:p w:rsidR="000D3B27" w:rsidRPr="009C36B0" w:rsidRDefault="000D3B27" w:rsidP="000D3B27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520" w:type="dxa"/>
          </w:tcPr>
          <w:p w:rsidR="000D3B27" w:rsidRPr="009C36B0" w:rsidRDefault="000D3B27" w:rsidP="000D3B27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0D3B27" w:rsidRPr="00EC5B91" w:rsidTr="000D3B27">
        <w:tc>
          <w:tcPr>
            <w:tcW w:w="3545" w:type="dxa"/>
          </w:tcPr>
          <w:p w:rsidR="000D3B27" w:rsidRPr="009C36B0" w:rsidRDefault="000D3B27" w:rsidP="000D3B27">
            <w:pPr>
              <w:pStyle w:val="ListParagraph"/>
              <w:numPr>
                <w:ilvl w:val="0"/>
                <w:numId w:val="1"/>
              </w:numPr>
              <w:tabs>
                <w:tab w:val="left" w:pos="142"/>
              </w:tabs>
              <w:ind w:left="0" w:hanging="142"/>
              <w:rPr>
                <w:rFonts w:asciiTheme="majorBidi" w:hAnsiTheme="majorBidi" w:cstheme="majorBidi"/>
                <w:lang w:val="fr-FR"/>
              </w:rPr>
            </w:pPr>
            <w:r w:rsidRPr="009C36B0">
              <w:rPr>
                <w:rFonts w:asciiTheme="majorBidi" w:hAnsiTheme="majorBidi" w:cstheme="majorBidi"/>
                <w:lang w:val="fr-FR"/>
              </w:rPr>
              <w:t>Définir : la lentille</w:t>
            </w:r>
          </w:p>
          <w:p w:rsidR="000D3B27" w:rsidRPr="00B2045E" w:rsidRDefault="000D3B27" w:rsidP="000D3B27">
            <w:pPr>
              <w:pStyle w:val="ListParagraph"/>
              <w:numPr>
                <w:ilvl w:val="0"/>
                <w:numId w:val="1"/>
              </w:numPr>
              <w:tabs>
                <w:tab w:val="left" w:pos="142"/>
              </w:tabs>
              <w:ind w:left="0" w:hanging="142"/>
              <w:rPr>
                <w:rFonts w:asciiTheme="majorBidi" w:hAnsiTheme="majorBidi" w:cstheme="majorBidi"/>
                <w:lang w:val="fr-FR"/>
              </w:rPr>
            </w:pPr>
            <w:r w:rsidRPr="009C36B0">
              <w:rPr>
                <w:rFonts w:asciiTheme="majorBidi" w:hAnsiTheme="majorBidi" w:cstheme="majorBidi"/>
                <w:lang w:val="fr-FR"/>
              </w:rPr>
              <w:t xml:space="preserve">Connaitre les types de la lentille </w:t>
            </w:r>
          </w:p>
        </w:tc>
        <w:tc>
          <w:tcPr>
            <w:tcW w:w="5812" w:type="dxa"/>
          </w:tcPr>
          <w:p w:rsidR="000D3B27" w:rsidRPr="009C36B0" w:rsidRDefault="000D3B27" w:rsidP="000D3B27">
            <w:pPr>
              <w:pStyle w:val="ListParagraph"/>
              <w:numPr>
                <w:ilvl w:val="0"/>
                <w:numId w:val="1"/>
              </w:numPr>
              <w:tabs>
                <w:tab w:val="left" w:pos="217"/>
              </w:tabs>
              <w:ind w:left="75" w:hanging="95"/>
              <w:rPr>
                <w:rFonts w:asciiTheme="majorBidi" w:hAnsiTheme="majorBidi" w:cstheme="majorBidi"/>
                <w:lang w:val="fr-FR"/>
              </w:rPr>
            </w:pPr>
            <w:r w:rsidRPr="009C36B0">
              <w:rPr>
                <w:rFonts w:asciiTheme="majorBidi" w:hAnsiTheme="majorBidi" w:cstheme="majorBidi"/>
                <w:lang w:val="fr-FR"/>
              </w:rPr>
              <w:t>Identifier  les types des lentilles</w:t>
            </w:r>
          </w:p>
          <w:p w:rsidR="000D3B27" w:rsidRPr="00D75EC4" w:rsidRDefault="000D3B27" w:rsidP="000D3B27">
            <w:pPr>
              <w:pStyle w:val="ListParagraph"/>
              <w:numPr>
                <w:ilvl w:val="0"/>
                <w:numId w:val="1"/>
              </w:numPr>
              <w:tabs>
                <w:tab w:val="left" w:pos="217"/>
              </w:tabs>
              <w:ind w:left="75" w:hanging="95"/>
              <w:rPr>
                <w:rFonts w:asciiTheme="majorBidi" w:hAnsiTheme="majorBidi" w:cstheme="majorBidi"/>
                <w:lang w:val="fr-FR"/>
              </w:rPr>
            </w:pPr>
            <w:r w:rsidRPr="009C36B0">
              <w:rPr>
                <w:rFonts w:asciiTheme="majorBidi" w:hAnsiTheme="majorBidi" w:cstheme="majorBidi"/>
                <w:lang w:val="fr-FR"/>
              </w:rPr>
              <w:t xml:space="preserve">Tracer la marche des rayons lumineux à travers les lentilles </w:t>
            </w:r>
          </w:p>
        </w:tc>
        <w:tc>
          <w:tcPr>
            <w:tcW w:w="6520" w:type="dxa"/>
          </w:tcPr>
          <w:p w:rsidR="000D3B27" w:rsidRPr="009C36B0" w:rsidRDefault="000D3B27" w:rsidP="000D3B27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9C36B0">
              <w:rPr>
                <w:rFonts w:asciiTheme="majorBidi" w:hAnsiTheme="majorBidi" w:cstheme="majorBidi"/>
                <w:lang w:val="fr-FR"/>
              </w:rPr>
              <w:t xml:space="preserve"> Construire l’image donnée par les lentilles</w:t>
            </w:r>
          </w:p>
          <w:p w:rsidR="000D3B27" w:rsidRPr="009C36B0" w:rsidRDefault="000D3B27" w:rsidP="000D3B27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ind w:left="0" w:hanging="108"/>
              <w:rPr>
                <w:rFonts w:asciiTheme="majorBidi" w:hAnsiTheme="majorBidi" w:cstheme="majorBidi"/>
                <w:lang w:val="fr-FR"/>
              </w:rPr>
            </w:pPr>
            <w:r w:rsidRPr="009C36B0">
              <w:rPr>
                <w:rFonts w:asciiTheme="majorBidi" w:hAnsiTheme="majorBidi" w:cstheme="majorBidi"/>
                <w:lang w:val="fr-FR"/>
              </w:rPr>
              <w:t xml:space="preserve">Préciser les caractéristiques des images graphiquement  et par calcul    </w:t>
            </w:r>
          </w:p>
        </w:tc>
      </w:tr>
    </w:tbl>
    <w:p w:rsidR="00506ECD" w:rsidRPr="00C65D0C" w:rsidRDefault="00506ECD" w:rsidP="00D30087">
      <w:pPr>
        <w:spacing w:after="0" w:line="240" w:lineRule="auto"/>
        <w:ind w:left="36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– 2- Œil</w:t>
      </w:r>
    </w:p>
    <w:tbl>
      <w:tblPr>
        <w:tblStyle w:val="TableGrid"/>
        <w:tblpPr w:leftFromText="180" w:rightFromText="180" w:vertAnchor="text" w:horzAnchor="margin" w:tblpX="250" w:tblpY="9"/>
        <w:tblW w:w="15984" w:type="dxa"/>
        <w:tblLayout w:type="fixed"/>
        <w:tblLook w:val="04A0"/>
      </w:tblPr>
      <w:tblGrid>
        <w:gridCol w:w="3772"/>
        <w:gridCol w:w="5550"/>
        <w:gridCol w:w="6662"/>
      </w:tblGrid>
      <w:tr w:rsidR="00506ECD" w:rsidTr="000D3B27">
        <w:tc>
          <w:tcPr>
            <w:tcW w:w="3772" w:type="dxa"/>
          </w:tcPr>
          <w:p w:rsidR="00506ECD" w:rsidRPr="00FC5DD8" w:rsidRDefault="00506ECD" w:rsidP="00506EC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550" w:type="dxa"/>
          </w:tcPr>
          <w:p w:rsidR="00506ECD" w:rsidRPr="00FC5DD8" w:rsidRDefault="00506ECD" w:rsidP="00506ECD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662" w:type="dxa"/>
          </w:tcPr>
          <w:p w:rsidR="00506ECD" w:rsidRPr="00FC5DD8" w:rsidRDefault="00506ECD" w:rsidP="00506ECD">
            <w:pPr>
              <w:tabs>
                <w:tab w:val="left" w:pos="2242"/>
                <w:tab w:val="center" w:pos="4204"/>
              </w:tabs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506ECD" w:rsidRPr="00EC5B91" w:rsidTr="000D3B27">
        <w:tc>
          <w:tcPr>
            <w:tcW w:w="3772" w:type="dxa"/>
          </w:tcPr>
          <w:p w:rsidR="00506ECD" w:rsidRPr="000D3B27" w:rsidRDefault="00506ECD" w:rsidP="000D3B27">
            <w:pPr>
              <w:pStyle w:val="ListParagraph"/>
              <w:numPr>
                <w:ilvl w:val="0"/>
                <w:numId w:val="1"/>
              </w:numPr>
              <w:ind w:left="142" w:hanging="284"/>
              <w:rPr>
                <w:rFonts w:asciiTheme="majorBidi" w:hAnsiTheme="majorBidi" w:cstheme="majorBidi"/>
                <w:color w:val="000000" w:themeColor="text1"/>
                <w:lang w:val="fr-FR"/>
              </w:rPr>
            </w:pPr>
            <w:r w:rsidRPr="000A218D">
              <w:rPr>
                <w:rFonts w:asciiTheme="majorBidi" w:hAnsiTheme="majorBidi" w:cstheme="majorBidi"/>
                <w:color w:val="000000" w:themeColor="text1"/>
                <w:lang w:val="fr-FR"/>
              </w:rPr>
              <w:t>Définir l’œil réduit</w:t>
            </w:r>
            <w:r w:rsidR="000D3B27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, </w:t>
            </w:r>
            <w:r w:rsidRPr="000D3B27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 l’accommodation </w:t>
            </w:r>
          </w:p>
          <w:p w:rsidR="00506ECD" w:rsidRPr="000A218D" w:rsidRDefault="00506ECD" w:rsidP="000D3B27">
            <w:pPr>
              <w:pStyle w:val="ListParagraph"/>
              <w:numPr>
                <w:ilvl w:val="0"/>
                <w:numId w:val="1"/>
              </w:numPr>
              <w:ind w:left="142" w:hanging="284"/>
              <w:rPr>
                <w:rFonts w:asciiTheme="majorBidi" w:hAnsiTheme="majorBidi" w:cstheme="majorBidi"/>
                <w:color w:val="000000" w:themeColor="text1"/>
                <w:lang w:val="fr-FR"/>
              </w:rPr>
            </w:pPr>
            <w:r w:rsidRPr="000A218D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Nommer le défaut de l’œil </w:t>
            </w:r>
          </w:p>
        </w:tc>
        <w:tc>
          <w:tcPr>
            <w:tcW w:w="5550" w:type="dxa"/>
          </w:tcPr>
          <w:p w:rsidR="00506ECD" w:rsidRPr="000A218D" w:rsidRDefault="00506ECD" w:rsidP="00506EC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color w:val="000000" w:themeColor="text1"/>
                <w:lang w:val="fr-FR"/>
              </w:rPr>
            </w:pPr>
            <w:r w:rsidRPr="000A218D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Reconnaitre le mécanisme de l’accommodation  </w:t>
            </w:r>
          </w:p>
          <w:p w:rsidR="00506ECD" w:rsidRPr="000A218D" w:rsidRDefault="00506ECD" w:rsidP="00506ECD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color w:val="000000" w:themeColor="text1"/>
                <w:lang w:val="fr-FR"/>
              </w:rPr>
            </w:pPr>
            <w:r w:rsidRPr="000A218D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Renoncer le problème de chaque cas de l’œil en défaut </w:t>
            </w:r>
          </w:p>
        </w:tc>
        <w:tc>
          <w:tcPr>
            <w:tcW w:w="6662" w:type="dxa"/>
          </w:tcPr>
          <w:p w:rsidR="00506ECD" w:rsidRPr="000A218D" w:rsidRDefault="00506ECD" w:rsidP="00506ECD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color w:val="000000" w:themeColor="text1"/>
                <w:lang w:val="fr-FR"/>
              </w:rPr>
            </w:pPr>
            <w:r w:rsidRPr="000A218D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 Différencier entre œil normal et œil en défaut </w:t>
            </w:r>
          </w:p>
          <w:p w:rsidR="00506ECD" w:rsidRPr="000A218D" w:rsidRDefault="00506ECD" w:rsidP="00506ECD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color w:val="000000" w:themeColor="text1"/>
                <w:lang w:val="fr-FR"/>
              </w:rPr>
            </w:pPr>
            <w:r w:rsidRPr="000A218D">
              <w:rPr>
                <w:rFonts w:asciiTheme="majorBidi" w:hAnsiTheme="majorBidi" w:cstheme="majorBidi"/>
                <w:color w:val="000000" w:themeColor="text1"/>
                <w:lang w:val="fr-FR"/>
              </w:rPr>
              <w:t xml:space="preserve">Corriger le défaut de l’œil     </w:t>
            </w:r>
          </w:p>
        </w:tc>
      </w:tr>
    </w:tbl>
    <w:p w:rsidR="00F07033" w:rsidRPr="00C65D0C" w:rsidRDefault="00F07033" w:rsidP="00F07033">
      <w:pPr>
        <w:spacing w:after="0" w:line="240" w:lineRule="auto"/>
        <w:ind w:left="36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Chapitre – 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3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- Courant dérives</w:t>
      </w:r>
    </w:p>
    <w:tbl>
      <w:tblPr>
        <w:tblStyle w:val="TableGrid"/>
        <w:tblpPr w:leftFromText="180" w:rightFromText="180" w:vertAnchor="text" w:horzAnchor="margin" w:tblpX="250" w:tblpY="29"/>
        <w:tblOverlap w:val="never"/>
        <w:tblW w:w="15701" w:type="dxa"/>
        <w:tblLayout w:type="fixed"/>
        <w:tblLook w:val="04A0"/>
      </w:tblPr>
      <w:tblGrid>
        <w:gridCol w:w="5215"/>
        <w:gridCol w:w="3824"/>
        <w:gridCol w:w="6662"/>
      </w:tblGrid>
      <w:tr w:rsidR="00F07033" w:rsidTr="0090094F">
        <w:tc>
          <w:tcPr>
            <w:tcW w:w="5215" w:type="dxa"/>
          </w:tcPr>
          <w:p w:rsidR="00F07033" w:rsidRPr="009C36B0" w:rsidRDefault="00F07033" w:rsidP="0090094F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3824" w:type="dxa"/>
          </w:tcPr>
          <w:p w:rsidR="00F07033" w:rsidRPr="009C36B0" w:rsidRDefault="00F07033" w:rsidP="0090094F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662" w:type="dxa"/>
          </w:tcPr>
          <w:p w:rsidR="00F07033" w:rsidRPr="009C36B0" w:rsidRDefault="00F07033" w:rsidP="0090094F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F07033" w:rsidRPr="00EC5B91" w:rsidTr="0090094F">
        <w:tc>
          <w:tcPr>
            <w:tcW w:w="5215" w:type="dxa"/>
          </w:tcPr>
          <w:p w:rsidR="00F07033" w:rsidRPr="00D30087" w:rsidRDefault="00F07033" w:rsidP="0090094F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b/>
                <w:bCs/>
                <w:u w:val="single"/>
                <w:lang w:val="fr-FR"/>
              </w:rPr>
            </w:pPr>
            <w:r w:rsidRPr="00D30087">
              <w:rPr>
                <w:rFonts w:asciiTheme="majorBidi" w:hAnsiTheme="majorBidi" w:cstheme="majorBidi"/>
                <w:lang w:val="fr-FR"/>
              </w:rPr>
              <w:t xml:space="preserve">Connaitre les lois </w:t>
            </w:r>
            <w:r w:rsidRPr="00D30087">
              <w:rPr>
                <w:rFonts w:asciiTheme="majorBidi" w:eastAsia="Times New Roman" w:hAnsiTheme="majorBidi" w:cstheme="majorBidi"/>
                <w:lang w:val="fr-FR"/>
              </w:rPr>
              <w:t>relatives à la tension électrique</w:t>
            </w:r>
          </w:p>
        </w:tc>
        <w:tc>
          <w:tcPr>
            <w:tcW w:w="3824" w:type="dxa"/>
          </w:tcPr>
          <w:p w:rsidR="00F07033" w:rsidRPr="00D75EC4" w:rsidRDefault="00F07033" w:rsidP="0090094F">
            <w:pPr>
              <w:pStyle w:val="ListParagraph"/>
              <w:tabs>
                <w:tab w:val="left" w:pos="217"/>
              </w:tabs>
              <w:ind w:left="75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662" w:type="dxa"/>
          </w:tcPr>
          <w:p w:rsidR="00F07033" w:rsidRPr="000A218D" w:rsidRDefault="00F07033" w:rsidP="0090094F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Appliquer les lois dans les cas d’un circuit en série et en dérivation</w:t>
            </w:r>
          </w:p>
        </w:tc>
      </w:tr>
    </w:tbl>
    <w:p w:rsidR="000A218D" w:rsidRPr="00C65D0C" w:rsidRDefault="009E5797" w:rsidP="00F07033">
      <w:pPr>
        <w:spacing w:after="0" w:line="240" w:lineRule="auto"/>
        <w:ind w:left="36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bookmarkStart w:id="0" w:name="_GoBack"/>
      <w:bookmarkEnd w:id="0"/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Chapitre – </w:t>
      </w:r>
      <w:r w:rsidR="00F07033">
        <w:rPr>
          <w:rFonts w:asciiTheme="majorBidi" w:hAnsiTheme="majorBidi" w:cstheme="majorBidi"/>
          <w:b/>
          <w:bCs/>
          <w:sz w:val="24"/>
          <w:szCs w:val="24"/>
          <w:lang w:val="fr-FR"/>
        </w:rPr>
        <w:t>4</w:t>
      </w:r>
      <w:r w:rsidRPr="00C65D0C">
        <w:rPr>
          <w:rFonts w:asciiTheme="majorBidi" w:hAnsiTheme="majorBidi" w:cstheme="majorBidi"/>
          <w:b/>
          <w:bCs/>
          <w:sz w:val="24"/>
          <w:szCs w:val="24"/>
          <w:lang w:val="fr-FR"/>
        </w:rPr>
        <w:t>- Conducteur ohmique, Générateur et récepteur</w:t>
      </w:r>
    </w:p>
    <w:tbl>
      <w:tblPr>
        <w:tblStyle w:val="TableGrid"/>
        <w:tblpPr w:leftFromText="180" w:rightFromText="180" w:vertAnchor="text" w:horzAnchor="margin" w:tblpX="250" w:tblpY="9"/>
        <w:tblW w:w="15984" w:type="dxa"/>
        <w:tblLayout w:type="fixed"/>
        <w:tblLook w:val="04A0"/>
      </w:tblPr>
      <w:tblGrid>
        <w:gridCol w:w="4928"/>
        <w:gridCol w:w="5386"/>
        <w:gridCol w:w="5670"/>
      </w:tblGrid>
      <w:tr w:rsidR="000A218D" w:rsidTr="000D3B27">
        <w:tc>
          <w:tcPr>
            <w:tcW w:w="4928" w:type="dxa"/>
          </w:tcPr>
          <w:p w:rsidR="000A218D" w:rsidRPr="00FC5DD8" w:rsidRDefault="000A218D" w:rsidP="00C65D0C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386" w:type="dxa"/>
          </w:tcPr>
          <w:p w:rsidR="000A218D" w:rsidRPr="00FC5DD8" w:rsidRDefault="000A218D" w:rsidP="00C65D0C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5670" w:type="dxa"/>
          </w:tcPr>
          <w:p w:rsidR="000A218D" w:rsidRPr="00FC5DD8" w:rsidRDefault="000A218D" w:rsidP="00C65D0C">
            <w:pPr>
              <w:tabs>
                <w:tab w:val="left" w:pos="2242"/>
                <w:tab w:val="center" w:pos="4204"/>
              </w:tabs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0A218D" w:rsidRPr="00EC5B91" w:rsidTr="000D3B27">
        <w:tc>
          <w:tcPr>
            <w:tcW w:w="4928" w:type="dxa"/>
          </w:tcPr>
          <w:p w:rsidR="000A218D" w:rsidRPr="005152F9" w:rsidRDefault="000A218D" w:rsidP="000A218D">
            <w:pPr>
              <w:pStyle w:val="ListParagraph"/>
              <w:ind w:left="0"/>
              <w:rPr>
                <w:rFonts w:ascii="Times New Roman" w:hAnsi="Times New Roman" w:cs="Times New Roman"/>
                <w:lang w:val="fr-FR"/>
              </w:rPr>
            </w:pPr>
            <w:r w:rsidRPr="005152F9">
              <w:rPr>
                <w:rFonts w:ascii="Times New Roman" w:hAnsi="Times New Roman" w:cs="Times New Roman"/>
                <w:lang w:val="fr-FR"/>
              </w:rPr>
              <w:t>Définir : la résistance d’un conducteur ohmique</w:t>
            </w:r>
            <w:r w:rsidRPr="0057111A">
              <w:rPr>
                <w:rFonts w:ascii="Times New Roman" w:hAnsi="Times New Roman" w:cs="Times New Roman"/>
                <w:lang w:val="fr-FR"/>
              </w:rPr>
              <w:t>-</w:t>
            </w:r>
            <w:r w:rsidRPr="005152F9">
              <w:rPr>
                <w:rFonts w:ascii="Times New Roman" w:hAnsi="Times New Roman" w:cs="Times New Roman"/>
                <w:lang w:val="fr-FR"/>
              </w:rPr>
              <w:t>générateur   - r</w:t>
            </w:r>
            <w:r>
              <w:rPr>
                <w:rFonts w:ascii="Times New Roman" w:hAnsi="Times New Roman" w:cs="Times New Roman"/>
                <w:lang w:val="fr-FR"/>
              </w:rPr>
              <w:t>écepteur</w:t>
            </w:r>
          </w:p>
          <w:p w:rsidR="000A218D" w:rsidRPr="000A218D" w:rsidRDefault="000A218D" w:rsidP="000A218D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color w:val="000000" w:themeColor="text1"/>
                <w:lang w:val="fr-FR"/>
              </w:rPr>
            </w:pPr>
            <w:r w:rsidRPr="005152F9">
              <w:rPr>
                <w:rFonts w:ascii="Times New Roman" w:hAnsi="Times New Roman" w:cs="Times New Roman"/>
                <w:lang w:val="fr-FR"/>
              </w:rPr>
              <w:t>Connaitre les lois de groupement</w:t>
            </w:r>
            <w:r>
              <w:rPr>
                <w:rFonts w:ascii="Times New Roman" w:hAnsi="Times New Roman" w:cs="Times New Roman"/>
                <w:lang w:val="fr-FR"/>
              </w:rPr>
              <w:t xml:space="preserve"> de conducteur ohmique et</w:t>
            </w:r>
            <w:r w:rsidRPr="005152F9">
              <w:rPr>
                <w:rFonts w:ascii="Times New Roman" w:hAnsi="Times New Roman" w:cs="Times New Roman"/>
                <w:lang w:val="fr-FR"/>
              </w:rPr>
              <w:t xml:space="preserve"> des générateurs et de récepteurs </w:t>
            </w:r>
          </w:p>
        </w:tc>
        <w:tc>
          <w:tcPr>
            <w:tcW w:w="5386" w:type="dxa"/>
          </w:tcPr>
          <w:p w:rsidR="000A218D" w:rsidRPr="0057111A" w:rsidRDefault="000A218D" w:rsidP="000A218D">
            <w:pPr>
              <w:pStyle w:val="ListParagraph"/>
              <w:numPr>
                <w:ilvl w:val="0"/>
                <w:numId w:val="1"/>
              </w:numPr>
              <w:tabs>
                <w:tab w:val="left" w:pos="33"/>
                <w:tab w:val="left" w:pos="175"/>
                <w:tab w:val="left" w:pos="317"/>
              </w:tabs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5152F9">
              <w:rPr>
                <w:rFonts w:ascii="Times New Roman" w:hAnsi="Times New Roman" w:cs="Times New Roman"/>
                <w:lang w:val="fr-FR"/>
              </w:rPr>
              <w:t>Reconnaitre les caractéristiques</w:t>
            </w:r>
            <w:r>
              <w:rPr>
                <w:rFonts w:ascii="Times New Roman" w:hAnsi="Times New Roman" w:cs="Times New Roman"/>
                <w:lang w:val="fr-FR"/>
              </w:rPr>
              <w:t xml:space="preserve"> du conducteur ohmique, </w:t>
            </w:r>
            <w:r w:rsidRPr="005152F9">
              <w:rPr>
                <w:rFonts w:ascii="Times New Roman" w:hAnsi="Times New Roman" w:cs="Times New Roman"/>
                <w:lang w:val="fr-FR"/>
              </w:rPr>
              <w:t xml:space="preserve"> de générateur et de récepteur  </w:t>
            </w:r>
          </w:p>
          <w:p w:rsidR="000A218D" w:rsidRPr="000A218D" w:rsidRDefault="000A218D" w:rsidP="000A218D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  <w:tab w:val="left" w:pos="317"/>
              </w:tabs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5152F9">
              <w:rPr>
                <w:rFonts w:ascii="Times New Roman" w:hAnsi="Times New Roman" w:cs="Times New Roman"/>
                <w:lang w:val="fr-FR"/>
              </w:rPr>
              <w:t xml:space="preserve">Enoncer la loi d’Ohm </w:t>
            </w:r>
            <w:r>
              <w:rPr>
                <w:rFonts w:ascii="Times New Roman" w:hAnsi="Times New Roman" w:cs="Times New Roman"/>
                <w:lang w:val="fr-FR"/>
              </w:rPr>
              <w:t xml:space="preserve">du conducteur ohmique, </w:t>
            </w:r>
            <w:r w:rsidRPr="005152F9">
              <w:rPr>
                <w:rFonts w:ascii="Times New Roman" w:hAnsi="Times New Roman" w:cs="Times New Roman"/>
                <w:lang w:val="fr-FR"/>
              </w:rPr>
              <w:t xml:space="preserve"> de générateur et de récepteur  </w:t>
            </w:r>
          </w:p>
        </w:tc>
        <w:tc>
          <w:tcPr>
            <w:tcW w:w="5670" w:type="dxa"/>
          </w:tcPr>
          <w:p w:rsidR="000A218D" w:rsidRPr="005152F9" w:rsidRDefault="000A218D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5152F9">
              <w:rPr>
                <w:rFonts w:ascii="Times New Roman" w:hAnsi="Times New Roman" w:cs="Times New Roman"/>
                <w:lang w:val="fr-FR"/>
              </w:rPr>
              <w:t xml:space="preserve"> Lire le graph (U-I) du conducteur</w:t>
            </w:r>
            <w:r>
              <w:rPr>
                <w:rFonts w:ascii="Times New Roman" w:hAnsi="Times New Roman" w:cs="Times New Roman"/>
                <w:lang w:val="fr-FR"/>
              </w:rPr>
              <w:t>, générateur et récepteur</w:t>
            </w:r>
          </w:p>
          <w:p w:rsidR="000A218D" w:rsidRPr="005152F9" w:rsidRDefault="000A218D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5152F9">
              <w:rPr>
                <w:rFonts w:ascii="Times New Roman" w:hAnsi="Times New Roman" w:cs="Times New Roman"/>
                <w:lang w:val="fr-FR"/>
              </w:rPr>
              <w:t>Appliquer la loi d’ohm</w:t>
            </w:r>
          </w:p>
          <w:p w:rsidR="000A218D" w:rsidRPr="000A218D" w:rsidRDefault="000A218D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5152F9">
              <w:rPr>
                <w:rFonts w:ascii="Times New Roman" w:hAnsi="Times New Roman" w:cs="Times New Roman"/>
                <w:lang w:val="fr-FR"/>
              </w:rPr>
              <w:t>Pratiquer les lois de groupement</w:t>
            </w:r>
          </w:p>
        </w:tc>
      </w:tr>
    </w:tbl>
    <w:p w:rsidR="002C2494" w:rsidRPr="000D3B27" w:rsidRDefault="000D3B27" w:rsidP="00D30087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(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Chimie)</w:t>
      </w:r>
      <w:r w:rsidR="002C2494" w:rsidRPr="000E1EF0">
        <w:rPr>
          <w:rFonts w:asciiTheme="majorBidi" w:hAnsiTheme="majorBidi" w:cstheme="majorBidi"/>
          <w:b/>
          <w:bCs/>
          <w:color w:val="000000" w:themeColor="text1"/>
          <w:lang w:val="fr-FR"/>
        </w:rPr>
        <w:t>C</w:t>
      </w:r>
      <w:r w:rsidR="00C65D0C">
        <w:rPr>
          <w:rFonts w:asciiTheme="majorBidi" w:hAnsiTheme="majorBidi" w:cstheme="majorBidi"/>
          <w:b/>
          <w:bCs/>
          <w:color w:val="000000" w:themeColor="text1"/>
          <w:lang w:val="fr-FR"/>
        </w:rPr>
        <w:t>hapitre1</w:t>
      </w:r>
      <w:r w:rsidR="002C2494" w:rsidRPr="000E1EF0">
        <w:rPr>
          <w:rFonts w:asciiTheme="majorBidi" w:hAnsiTheme="majorBidi" w:cstheme="majorBidi"/>
          <w:b/>
          <w:bCs/>
          <w:color w:val="000000" w:themeColor="text1"/>
          <w:lang w:val="fr-FR"/>
        </w:rPr>
        <w:t> : Les additifs alimentaires</w:t>
      </w:r>
    </w:p>
    <w:tbl>
      <w:tblPr>
        <w:tblStyle w:val="TableGrid"/>
        <w:tblW w:w="15734" w:type="dxa"/>
        <w:tblInd w:w="250" w:type="dxa"/>
        <w:tblLook w:val="04A0"/>
      </w:tblPr>
      <w:tblGrid>
        <w:gridCol w:w="4961"/>
        <w:gridCol w:w="5103"/>
        <w:gridCol w:w="5670"/>
      </w:tblGrid>
      <w:tr w:rsidR="002C2494" w:rsidTr="000D3B27">
        <w:tc>
          <w:tcPr>
            <w:tcW w:w="4961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103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670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2C2494" w:rsidRPr="00EC5B91" w:rsidTr="000D3B27">
        <w:tc>
          <w:tcPr>
            <w:tcW w:w="4961" w:type="dxa"/>
          </w:tcPr>
          <w:p w:rsidR="002C2494" w:rsidRPr="00D30087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30087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lois qui régissent l’industrie alimentaire.</w:t>
            </w:r>
          </w:p>
          <w:p w:rsidR="002C2494" w:rsidRPr="005931EB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Citer les conditions d’utilisations des additifs alimentaires définies par les lois.</w:t>
            </w:r>
          </w:p>
          <w:p w:rsidR="002C2494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Classer les additifs en fonction de leurs rôles</w:t>
            </w:r>
          </w:p>
        </w:tc>
        <w:tc>
          <w:tcPr>
            <w:tcW w:w="5103" w:type="dxa"/>
          </w:tcPr>
          <w:p w:rsidR="002C2494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l’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Origine du droit de l’alimentation</w:t>
            </w:r>
          </w:p>
          <w:p w:rsidR="002C2494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Découvrir les principes généraux régissant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l’utilisation d’additifs dans les denrées alimentaires.</w:t>
            </w:r>
          </w:p>
          <w:p w:rsidR="002C2494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Réaliser l’é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tude fonctionnelle des additifs</w:t>
            </w:r>
          </w:p>
        </w:tc>
        <w:tc>
          <w:tcPr>
            <w:tcW w:w="5670" w:type="dxa"/>
          </w:tcPr>
          <w:p w:rsidR="002C2494" w:rsidRPr="005931EB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 les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additifs en fonction de leurs rôles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: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colorants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</w:t>
            </w: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antioxydants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, l</w:t>
            </w: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es acidifiants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et l</w:t>
            </w: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es édulcorants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…</w:t>
            </w:r>
          </w:p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0E1EF0" w:rsidRDefault="000E1EF0" w:rsidP="000D3B27">
      <w:pPr>
        <w:spacing w:after="0"/>
        <w:rPr>
          <w:rFonts w:asciiTheme="majorBidi" w:hAnsiTheme="majorBidi" w:cstheme="majorBidi"/>
          <w:sz w:val="20"/>
          <w:szCs w:val="20"/>
          <w:lang w:val="fr-FR"/>
        </w:rPr>
      </w:pPr>
    </w:p>
    <w:p w:rsidR="002C2494" w:rsidRPr="000E1EF0" w:rsidRDefault="002C2494" w:rsidP="00D30087">
      <w:pPr>
        <w:spacing w:after="0"/>
        <w:rPr>
          <w:rFonts w:asciiTheme="majorBidi" w:hAnsiTheme="majorBidi" w:cstheme="majorBidi"/>
          <w:b/>
          <w:bCs/>
          <w:color w:val="000000" w:themeColor="text1"/>
          <w:lang w:val="fr-FR"/>
        </w:rPr>
      </w:pPr>
      <w:r w:rsidRPr="000E1EF0">
        <w:rPr>
          <w:rFonts w:asciiTheme="majorBidi" w:hAnsiTheme="majorBidi" w:cstheme="majorBidi"/>
          <w:b/>
          <w:bCs/>
          <w:color w:val="000000" w:themeColor="text1"/>
          <w:lang w:val="fr-FR"/>
        </w:rPr>
        <w:t>C</w:t>
      </w:r>
      <w:r w:rsidR="00C65D0C">
        <w:rPr>
          <w:rFonts w:asciiTheme="majorBidi" w:hAnsiTheme="majorBidi" w:cstheme="majorBidi"/>
          <w:b/>
          <w:bCs/>
          <w:color w:val="000000" w:themeColor="text1"/>
          <w:lang w:val="fr-FR"/>
        </w:rPr>
        <w:t xml:space="preserve">hapitre 2 </w:t>
      </w:r>
      <w:r w:rsidRPr="000E1EF0">
        <w:rPr>
          <w:rFonts w:asciiTheme="majorBidi" w:hAnsiTheme="majorBidi" w:cstheme="majorBidi"/>
          <w:b/>
          <w:bCs/>
          <w:color w:val="000000" w:themeColor="text1"/>
          <w:lang w:val="fr-FR"/>
        </w:rPr>
        <w:t>: Four à micro-ondes</w:t>
      </w:r>
    </w:p>
    <w:tbl>
      <w:tblPr>
        <w:tblStyle w:val="TableGrid"/>
        <w:tblW w:w="15734" w:type="dxa"/>
        <w:tblInd w:w="250" w:type="dxa"/>
        <w:tblLook w:val="04A0"/>
      </w:tblPr>
      <w:tblGrid>
        <w:gridCol w:w="4678"/>
        <w:gridCol w:w="4536"/>
        <w:gridCol w:w="6520"/>
      </w:tblGrid>
      <w:tr w:rsidR="002C2494" w:rsidTr="000D3B27">
        <w:tc>
          <w:tcPr>
            <w:tcW w:w="4678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536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520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2C2494" w:rsidRPr="00EC5B91" w:rsidTr="000D3B27">
        <w:tc>
          <w:tcPr>
            <w:tcW w:w="4678" w:type="dxa"/>
          </w:tcPr>
          <w:p w:rsidR="002C2494" w:rsidRPr="00A52C13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mode de fonctionnement d’un four à micro-onde</w:t>
            </w:r>
          </w:p>
          <w:p w:rsidR="002C2494" w:rsidRPr="00A52C13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quelques unités</w:t>
            </w:r>
          </w:p>
          <w:p w:rsidR="002C2494" w:rsidRPr="00A52C13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l’effet des U.H.F. sur la matière</w:t>
            </w:r>
          </w:p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4536" w:type="dxa"/>
          </w:tcPr>
          <w:p w:rsidR="002C2494" w:rsidRPr="00A52C13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l’effet de la cuisson sur la qualité des aliments. Comparaison entre la cuisson traditionnelle et la cuisson par U.H.F.</w:t>
            </w:r>
          </w:p>
          <w:p w:rsidR="002C2494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Réaliser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les applications des fours à micro-onde pour chauffer les aliments et pour les décongeler.</w:t>
            </w:r>
          </w:p>
        </w:tc>
        <w:tc>
          <w:tcPr>
            <w:tcW w:w="6520" w:type="dxa"/>
          </w:tcPr>
          <w:p w:rsidR="002C2494" w:rsidRPr="00A52C13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Différencier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d’autres utilisations industrielles des aliments par U.H.F : Blanchiment, stérilisation,...</w:t>
            </w:r>
          </w:p>
          <w:p w:rsidR="002C2494" w:rsidRPr="00A52C13" w:rsidRDefault="002C2494" w:rsidP="00D30087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Accepter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certaines consignes d’utilisations des fours à micro-onde.</w:t>
            </w:r>
          </w:p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0E1EF0" w:rsidRDefault="000E1EF0" w:rsidP="002C2494">
      <w:pPr>
        <w:spacing w:after="0"/>
        <w:rPr>
          <w:rFonts w:asciiTheme="majorBidi" w:hAnsiTheme="majorBidi" w:cstheme="majorBidi"/>
          <w:sz w:val="20"/>
          <w:szCs w:val="20"/>
          <w:lang w:val="fr-FR"/>
        </w:rPr>
      </w:pPr>
    </w:p>
    <w:p w:rsidR="002C2494" w:rsidRPr="000E1EF0" w:rsidRDefault="00C65D0C" w:rsidP="009551D8">
      <w:pPr>
        <w:spacing w:after="0"/>
        <w:rPr>
          <w:rFonts w:asciiTheme="majorBidi" w:hAnsiTheme="majorBidi" w:cstheme="majorBidi"/>
          <w:b/>
          <w:bCs/>
          <w:color w:val="000000" w:themeColor="text1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lang w:val="fr-FR"/>
        </w:rPr>
        <w:t>Chapitre 3</w:t>
      </w:r>
      <w:r w:rsidR="002C2494" w:rsidRPr="000E1EF0">
        <w:rPr>
          <w:rFonts w:asciiTheme="majorBidi" w:hAnsiTheme="majorBidi" w:cstheme="majorBidi"/>
          <w:b/>
          <w:bCs/>
          <w:color w:val="000000" w:themeColor="text1"/>
          <w:lang w:val="fr-FR"/>
        </w:rPr>
        <w:t> : L’eau</w:t>
      </w:r>
    </w:p>
    <w:tbl>
      <w:tblPr>
        <w:tblStyle w:val="TableGrid"/>
        <w:tblW w:w="15734" w:type="dxa"/>
        <w:tblInd w:w="250" w:type="dxa"/>
        <w:tblLook w:val="04A0"/>
      </w:tblPr>
      <w:tblGrid>
        <w:gridCol w:w="4678"/>
        <w:gridCol w:w="4536"/>
        <w:gridCol w:w="6520"/>
      </w:tblGrid>
      <w:tr w:rsidR="002C2494" w:rsidTr="000D3B27">
        <w:tc>
          <w:tcPr>
            <w:tcW w:w="4678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536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520" w:type="dxa"/>
          </w:tcPr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Savoie être </w:t>
            </w:r>
          </w:p>
        </w:tc>
      </w:tr>
      <w:tr w:rsidR="002C2494" w:rsidRPr="00EC5B91" w:rsidTr="000D3B27">
        <w:tc>
          <w:tcPr>
            <w:tcW w:w="4678" w:type="dxa"/>
          </w:tcPr>
          <w:p w:rsidR="002C2494" w:rsidRPr="00A52C13" w:rsidRDefault="002C2494" w:rsidP="009551D8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Expliquer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l’importance et le rôle de l’eau.</w:t>
            </w:r>
          </w:p>
          <w:p w:rsidR="00195ED2" w:rsidRPr="00195ED2" w:rsidRDefault="002C2494" w:rsidP="00195ED2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Classifier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les différentes catégories de l’eau et montrer que les eaux naturelles sont des mélanges 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lastRenderedPageBreak/>
              <w:t>en présentant ses compositions ses</w:t>
            </w:r>
            <w:r w:rsidR="00195ED2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propriétés et ses applications</w:t>
            </w:r>
          </w:p>
        </w:tc>
        <w:tc>
          <w:tcPr>
            <w:tcW w:w="4536" w:type="dxa"/>
          </w:tcPr>
          <w:p w:rsidR="002C2494" w:rsidRPr="00A52C13" w:rsidRDefault="002C2494" w:rsidP="009551D8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lastRenderedPageBreak/>
              <w:t xml:space="preserve">Découvrir 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la composition de plusieurs eaux minérales.</w:t>
            </w:r>
          </w:p>
          <w:p w:rsidR="002C2494" w:rsidRPr="00A52C13" w:rsidRDefault="002C2494" w:rsidP="009551D8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Déterminer l’importance de chaque ion présent.</w:t>
            </w:r>
          </w:p>
          <w:p w:rsidR="002C2494" w:rsidRDefault="002C2494" w:rsidP="00382BEC">
            <w:pP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</w:p>
        </w:tc>
        <w:tc>
          <w:tcPr>
            <w:tcW w:w="6520" w:type="dxa"/>
          </w:tcPr>
          <w:p w:rsidR="002C2494" w:rsidRPr="00AF26E0" w:rsidRDefault="002C2494" w:rsidP="009551D8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 w:rsidRPr="00AF26E0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lastRenderedPageBreak/>
              <w:t>Distinguer entre l’eau dure et l’eau potable et déduire les caractères de chacune d’elles.</w:t>
            </w:r>
          </w:p>
          <w:p w:rsidR="002C2494" w:rsidRPr="00AF26E0" w:rsidRDefault="002C2494" w:rsidP="009551D8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 w:rsidRPr="00AF26E0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Déterminer la dureté de l’eau</w:t>
            </w:r>
          </w:p>
          <w:p w:rsidR="002C2494" w:rsidRPr="00AF26E0" w:rsidRDefault="002C2494" w:rsidP="009551D8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lastRenderedPageBreak/>
              <w:t>Différencier</w:t>
            </w:r>
            <w:r w:rsidRPr="00AF26E0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les différentes catégories d’une eau potable.</w:t>
            </w:r>
          </w:p>
          <w:p w:rsidR="002C2494" w:rsidRPr="001120DB" w:rsidRDefault="002C2494" w:rsidP="009551D8">
            <w:pPr>
              <w:pStyle w:val="ListParagraph"/>
              <w:numPr>
                <w:ilvl w:val="0"/>
                <w:numId w:val="1"/>
              </w:numPr>
              <w:ind w:left="267" w:hanging="267"/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>Choisir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 quelques additifs dans les eaux de bo</w:t>
            </w:r>
            <w:r w:rsidR="00062B22">
              <w:rPr>
                <w:rFonts w:asciiTheme="majorBidi" w:hAnsiTheme="majorBidi" w:cstheme="majorBidi"/>
                <w:sz w:val="20"/>
                <w:szCs w:val="20"/>
                <w:lang w:val="fr-FR" w:eastAsia="fr-FR"/>
              </w:rPr>
              <w:t xml:space="preserve">isson : CO2 - Sucre - acides </w:t>
            </w:r>
          </w:p>
        </w:tc>
      </w:tr>
    </w:tbl>
    <w:p w:rsidR="00B61AA7" w:rsidRPr="00630755" w:rsidRDefault="00B61AA7" w:rsidP="00837096">
      <w:pPr>
        <w:tabs>
          <w:tab w:val="center" w:pos="6793"/>
        </w:tabs>
        <w:spacing w:after="0"/>
        <w:jc w:val="center"/>
        <w:rPr>
          <w:b/>
          <w:bCs/>
          <w:sz w:val="28"/>
          <w:szCs w:val="28"/>
          <w:lang w:val="fr-FR" w:bidi="ar-LB"/>
        </w:rPr>
      </w:pPr>
    </w:p>
    <w:tbl>
      <w:tblPr>
        <w:tblStyle w:val="TableGrid"/>
        <w:tblpPr w:leftFromText="180" w:rightFromText="180" w:vertAnchor="page" w:horzAnchor="margin" w:tblpXSpec="center" w:tblpY="955"/>
        <w:tblW w:w="15735" w:type="dxa"/>
        <w:tblLook w:val="04A0"/>
      </w:tblPr>
      <w:tblGrid>
        <w:gridCol w:w="6629"/>
        <w:gridCol w:w="5245"/>
        <w:gridCol w:w="3861"/>
      </w:tblGrid>
      <w:tr w:rsidR="00837096" w:rsidRPr="00EC5B91" w:rsidTr="00837096">
        <w:tc>
          <w:tcPr>
            <w:tcW w:w="15735" w:type="dxa"/>
            <w:gridSpan w:val="3"/>
            <w:shd w:val="clear" w:color="auto" w:fill="D9D9D9" w:themeFill="background1" w:themeFillShade="D9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6C11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>Ch</w:t>
            </w:r>
            <w:r w:rsidR="00C65D0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 xml:space="preserve">apitre </w:t>
            </w:r>
            <w:r w:rsidRPr="006C11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>-1- Onde mécanique et ses applications(Le son)</w:t>
            </w:r>
            <w:r>
              <w:rPr>
                <w:rFonts w:cstheme="minorHAnsi"/>
                <w:sz w:val="32"/>
                <w:szCs w:val="32"/>
                <w:lang w:val="fr-FR" w:eastAsia="fr-FR"/>
              </w:rPr>
              <w:t>- (</w:t>
            </w:r>
            <w:r w:rsidRPr="00BD0FF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eastAsia="fr-FR"/>
              </w:rPr>
              <w:t>mouvement vibratoire</w:t>
            </w:r>
            <w:r>
              <w:rPr>
                <w:rFonts w:cstheme="minorHAnsi"/>
                <w:sz w:val="32"/>
                <w:szCs w:val="32"/>
                <w:lang w:val="fr-FR" w:eastAsia="fr-FR"/>
              </w:rPr>
              <w:t>)</w:t>
            </w:r>
          </w:p>
        </w:tc>
      </w:tr>
      <w:tr w:rsidR="00837096" w:rsidTr="00837096">
        <w:tc>
          <w:tcPr>
            <w:tcW w:w="6629" w:type="dxa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245" w:type="dxa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3861" w:type="dxa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837096" w:rsidRPr="00EC5B91" w:rsidTr="00837096">
        <w:tc>
          <w:tcPr>
            <w:tcW w:w="6629" w:type="dxa"/>
          </w:tcPr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Définir l’onde mécanique </w:t>
            </w:r>
          </w:p>
          <w:p w:rsidR="00837096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Connaitre la propriété de l’onde mécanique</w:t>
            </w:r>
          </w:p>
          <w:p w:rsidR="00837096" w:rsidRPr="00C76703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 xml:space="preserve">Connaitre que le son est dû à la propagation de vibration mécanique </w:t>
            </w:r>
          </w:p>
          <w:p w:rsidR="00837096" w:rsidRPr="006C1160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>Connaitre les formules de la vitesse du son dans les trois états de la matière</w:t>
            </w:r>
          </w:p>
        </w:tc>
        <w:tc>
          <w:tcPr>
            <w:tcW w:w="5245" w:type="dxa"/>
          </w:tcPr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Identifier la caractéristique de l’onde mécanique</w:t>
            </w:r>
          </w:p>
          <w:p w:rsidR="00837096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Distinguer les types de l’onde mécanique</w:t>
            </w:r>
          </w:p>
          <w:p w:rsidR="00837096" w:rsidRPr="00C76703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>Expliquer expérimentalement que le son a besoin d’un milieu matériel  pour se propager</w:t>
            </w:r>
          </w:p>
          <w:p w:rsidR="00837096" w:rsidRPr="006C1160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 w:eastAsia="fr-FR"/>
              </w:rPr>
              <w:t>Caractériser les sons audibles et inaudibles</w:t>
            </w:r>
          </w:p>
        </w:tc>
        <w:tc>
          <w:tcPr>
            <w:tcW w:w="3861" w:type="dxa"/>
          </w:tcPr>
          <w:p w:rsidR="00837096" w:rsidRPr="00F75B82" w:rsidRDefault="00837096" w:rsidP="00651532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 w:line="276" w:lineRule="auto"/>
              <w:ind w:left="176" w:hanging="176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Représenter l’onde mécanique</w:t>
            </w:r>
          </w:p>
          <w:p w:rsidR="00837096" w:rsidRDefault="00837096" w:rsidP="00651532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line="276" w:lineRule="auto"/>
              <w:ind w:left="176" w:hanging="176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Appliquer les relations entre les caractéristiques de l’onde mécanique </w:t>
            </w:r>
          </w:p>
          <w:p w:rsidR="00837096" w:rsidRPr="006C1160" w:rsidRDefault="00837096" w:rsidP="00651532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 w:line="276" w:lineRule="auto"/>
              <w:ind w:left="176" w:hanging="176"/>
              <w:rPr>
                <w:rFonts w:asciiTheme="majorBidi" w:hAnsiTheme="majorBidi" w:cstheme="majorBidi"/>
                <w:lang w:val="fr-FR"/>
              </w:rPr>
            </w:pPr>
            <w:r w:rsidRPr="00C76703">
              <w:rPr>
                <w:rFonts w:asciiTheme="majorBidi" w:hAnsiTheme="majorBidi" w:cstheme="majorBidi"/>
                <w:lang w:val="fr-FR"/>
              </w:rPr>
              <w:t xml:space="preserve">Réciter les facteurs de vitesse du son  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3181"/>
        <w:tblW w:w="15701" w:type="dxa"/>
        <w:tblLook w:val="04A0"/>
      </w:tblPr>
      <w:tblGrid>
        <w:gridCol w:w="5104"/>
        <w:gridCol w:w="4003"/>
        <w:gridCol w:w="6594"/>
      </w:tblGrid>
      <w:tr w:rsidR="00837096" w:rsidRPr="00EC5B91" w:rsidTr="00837096">
        <w:tc>
          <w:tcPr>
            <w:tcW w:w="15701" w:type="dxa"/>
            <w:gridSpan w:val="3"/>
            <w:shd w:val="clear" w:color="auto" w:fill="D9D9D9" w:themeFill="background1" w:themeFillShade="D9"/>
          </w:tcPr>
          <w:p w:rsidR="00837096" w:rsidRPr="00797AC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Ch</w:t>
            </w:r>
            <w:r w:rsidR="00C65D0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apitre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-2</w:t>
            </w:r>
            <w:r w:rsidRPr="006C11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- Onde électromagnétique (</w:t>
            </w:r>
            <w:r w:rsidRPr="006C11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 xml:space="preserve">Aspect ondulatoire de la </w:t>
            </w:r>
            <w:proofErr w:type="gramStart"/>
            <w:r w:rsidRPr="006C11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>lumière )</w:t>
            </w:r>
            <w:proofErr w:type="gramEnd"/>
          </w:p>
        </w:tc>
      </w:tr>
      <w:tr w:rsidR="00837096" w:rsidTr="00837096">
        <w:tc>
          <w:tcPr>
            <w:tcW w:w="5104" w:type="dxa"/>
          </w:tcPr>
          <w:p w:rsidR="00837096" w:rsidRPr="00797AC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97AC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003" w:type="dxa"/>
          </w:tcPr>
          <w:p w:rsidR="00837096" w:rsidRPr="00797AC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97AC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594" w:type="dxa"/>
          </w:tcPr>
          <w:p w:rsidR="00837096" w:rsidRPr="00797AC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797AC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837096" w:rsidRPr="00EC5B91" w:rsidTr="00837096">
        <w:tc>
          <w:tcPr>
            <w:tcW w:w="5104" w:type="dxa"/>
          </w:tcPr>
          <w:p w:rsidR="00837096" w:rsidRPr="00062B2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Définir l’onde électromagnétique </w:t>
            </w:r>
          </w:p>
          <w:p w:rsidR="00837096" w:rsidRPr="00062B2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Connaitre la nature du rayonnement thermique  </w:t>
            </w:r>
          </w:p>
          <w:p w:rsidR="00837096" w:rsidRPr="00F975C4" w:rsidRDefault="00837096" w:rsidP="00837096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4003" w:type="dxa"/>
          </w:tcPr>
          <w:p w:rsidR="00837096" w:rsidRPr="00062B2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>Identifier le spectre électromagnétique</w:t>
            </w:r>
          </w:p>
          <w:p w:rsidR="00837096" w:rsidRPr="00062B22" w:rsidRDefault="00837096" w:rsidP="00837096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594" w:type="dxa"/>
          </w:tcPr>
          <w:p w:rsidR="00837096" w:rsidRPr="00062B22" w:rsidRDefault="00837096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Classifier les ondes électromagnétiques selon leurs fréquences </w:t>
            </w:r>
          </w:p>
          <w:p w:rsidR="00837096" w:rsidRPr="00062B22" w:rsidRDefault="00837096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062B22">
              <w:rPr>
                <w:rFonts w:asciiTheme="majorBidi" w:hAnsiTheme="majorBidi" w:cstheme="majorBidi"/>
                <w:lang w:val="fr-FR"/>
              </w:rPr>
              <w:t xml:space="preserve">Appliquer pratiquement l’usage des rayonnements : infrarouge, </w:t>
            </w:r>
            <w:r w:rsidR="00C65D0C" w:rsidRPr="00062B22">
              <w:rPr>
                <w:rFonts w:asciiTheme="majorBidi" w:hAnsiTheme="majorBidi" w:cstheme="majorBidi"/>
                <w:lang w:val="fr-FR"/>
              </w:rPr>
              <w:t>ultraviolet,</w:t>
            </w:r>
            <w:r w:rsidRPr="00062B22">
              <w:rPr>
                <w:rFonts w:asciiTheme="majorBidi" w:hAnsiTheme="majorBidi" w:cstheme="majorBidi"/>
                <w:lang w:val="fr-FR"/>
              </w:rPr>
              <w:t xml:space="preserve"> rayon X</w:t>
            </w:r>
            <w:r>
              <w:rPr>
                <w:rFonts w:asciiTheme="majorBidi" w:hAnsiTheme="majorBidi" w:cstheme="majorBidi"/>
                <w:lang w:val="fr-FR"/>
              </w:rPr>
              <w:t xml:space="preserve"> et rayon laser</w:t>
            </w:r>
          </w:p>
        </w:tc>
      </w:tr>
    </w:tbl>
    <w:tbl>
      <w:tblPr>
        <w:tblStyle w:val="TableGrid"/>
        <w:tblpPr w:leftFromText="180" w:rightFromText="180" w:vertAnchor="page" w:horzAnchor="margin" w:tblpX="534" w:tblpY="4770"/>
        <w:tblW w:w="15734" w:type="dxa"/>
        <w:tblLook w:val="04A0"/>
      </w:tblPr>
      <w:tblGrid>
        <w:gridCol w:w="6662"/>
        <w:gridCol w:w="3827"/>
        <w:gridCol w:w="5245"/>
      </w:tblGrid>
      <w:tr w:rsidR="00837096" w:rsidRPr="00EC5B91" w:rsidTr="00837096">
        <w:tc>
          <w:tcPr>
            <w:tcW w:w="15734" w:type="dxa"/>
            <w:gridSpan w:val="3"/>
            <w:shd w:val="clear" w:color="auto" w:fill="D9D9D9" w:themeFill="background1" w:themeFillShade="D9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Ch</w:t>
            </w:r>
            <w:r w:rsidR="00C65D0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apitre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-3- </w:t>
            </w:r>
            <w:r w:rsidRPr="00F975C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Radioactivité – réactio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ns nucléaires provoqué – Danger</w:t>
            </w:r>
          </w:p>
        </w:tc>
      </w:tr>
      <w:tr w:rsidR="00837096" w:rsidTr="00837096">
        <w:tc>
          <w:tcPr>
            <w:tcW w:w="6662" w:type="dxa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3827" w:type="dxa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245" w:type="dxa"/>
          </w:tcPr>
          <w:p w:rsidR="00837096" w:rsidRPr="00451F7B" w:rsidRDefault="00837096" w:rsidP="00837096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451F7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837096" w:rsidRPr="00535C54" w:rsidTr="00837096">
        <w:tc>
          <w:tcPr>
            <w:tcW w:w="6662" w:type="dxa"/>
          </w:tcPr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Définir la radioactivité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Nommer  les types de radiation radioactive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Définir demi-vie d’une substance 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Citer les types des réactions nucléaires provoquées   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Enoncer la loi de conservation de nombre de masse et de charge électrique (loi de Soddy) 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Définir le défaut de masse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Définir l’unité de mesure du rayonnement radioactif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Ecrire l’efficacité biologique et génétique</w:t>
            </w:r>
            <w:r>
              <w:rPr>
                <w:rFonts w:asciiTheme="majorBidi" w:hAnsiTheme="majorBidi" w:cstheme="majorBidi"/>
                <w:lang w:val="fr-FR"/>
              </w:rPr>
              <w:t xml:space="preserve"> relative de chaque rayon</w:t>
            </w:r>
          </w:p>
        </w:tc>
        <w:tc>
          <w:tcPr>
            <w:tcW w:w="3827" w:type="dxa"/>
          </w:tcPr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Identifier les types de radiation radioactive 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Différencier entre radioactivité naturelle et provoqué  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Reconnaitre les réactions de fission et de fusion </w:t>
            </w:r>
          </w:p>
          <w:p w:rsidR="00837096" w:rsidRPr="00F75B82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Renoncer les effets biologique et génétique de radiation radioactif </w:t>
            </w:r>
          </w:p>
        </w:tc>
        <w:tc>
          <w:tcPr>
            <w:tcW w:w="5245" w:type="dxa"/>
          </w:tcPr>
          <w:p w:rsidR="00837096" w:rsidRPr="00F75B82" w:rsidRDefault="00837096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Appliquer la loi de demi-vie</w:t>
            </w:r>
          </w:p>
          <w:p w:rsidR="00837096" w:rsidRPr="00F75B82" w:rsidRDefault="00837096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>Déterminer  la demi-vie (période) à partir d’une courbe de désintégration</w:t>
            </w:r>
          </w:p>
          <w:p w:rsidR="00837096" w:rsidRPr="00F75B82" w:rsidRDefault="00837096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Réaliser l’équilibre de la réaction radioactive en se basant sur la loi de Soddy </w:t>
            </w:r>
          </w:p>
          <w:p w:rsidR="00837096" w:rsidRPr="00F75B82" w:rsidRDefault="00837096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Relier l’énergie produite au défaut de masse </w:t>
            </w:r>
          </w:p>
          <w:p w:rsidR="00837096" w:rsidRPr="00F75B82" w:rsidRDefault="00837096" w:rsidP="00651532">
            <w:pPr>
              <w:pStyle w:val="ListParagraph"/>
              <w:numPr>
                <w:ilvl w:val="0"/>
                <w:numId w:val="6"/>
              </w:numPr>
              <w:spacing w:after="200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F75B82">
              <w:rPr>
                <w:rFonts w:asciiTheme="majorBidi" w:hAnsiTheme="majorBidi" w:cstheme="majorBidi"/>
                <w:lang w:val="fr-FR"/>
              </w:rPr>
              <w:t xml:space="preserve">Donner des applications médicales </w:t>
            </w:r>
          </w:p>
        </w:tc>
      </w:tr>
    </w:tbl>
    <w:tbl>
      <w:tblPr>
        <w:tblStyle w:val="TableGrid"/>
        <w:tblpPr w:leftFromText="180" w:rightFromText="180" w:vertAnchor="page" w:horzAnchor="margin" w:tblpX="466" w:tblpY="7706"/>
        <w:tblW w:w="15518" w:type="dxa"/>
        <w:tblLook w:val="04A0"/>
      </w:tblPr>
      <w:tblGrid>
        <w:gridCol w:w="5063"/>
        <w:gridCol w:w="5822"/>
        <w:gridCol w:w="4633"/>
      </w:tblGrid>
      <w:tr w:rsidR="00837096" w:rsidTr="00C65D0C">
        <w:tc>
          <w:tcPr>
            <w:tcW w:w="5063" w:type="dxa"/>
            <w:tcBorders>
              <w:top w:val="nil"/>
              <w:left w:val="nil"/>
            </w:tcBorders>
          </w:tcPr>
          <w:p w:rsidR="00837096" w:rsidRPr="00F975C4" w:rsidRDefault="00837096" w:rsidP="00837096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5822" w:type="dxa"/>
            <w:shd w:val="clear" w:color="auto" w:fill="D9D9D9" w:themeFill="background1" w:themeFillShade="D9"/>
          </w:tcPr>
          <w:p w:rsidR="00837096" w:rsidRPr="00CB0413" w:rsidRDefault="00837096" w:rsidP="0083709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Ch</w:t>
            </w:r>
            <w:r w:rsidR="00C65D0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apitre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 -4- </w:t>
            </w:r>
            <w:r w:rsidRPr="00F975C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Courant Alternatif</w:t>
            </w:r>
          </w:p>
        </w:tc>
        <w:tc>
          <w:tcPr>
            <w:tcW w:w="4633" w:type="dxa"/>
            <w:tcBorders>
              <w:top w:val="nil"/>
              <w:right w:val="nil"/>
            </w:tcBorders>
          </w:tcPr>
          <w:p w:rsidR="00837096" w:rsidRPr="00F975C4" w:rsidRDefault="00837096" w:rsidP="00837096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</w:p>
        </w:tc>
      </w:tr>
      <w:tr w:rsidR="00837096" w:rsidRPr="00EC5B91" w:rsidTr="00C65D0C">
        <w:trPr>
          <w:trHeight w:val="739"/>
        </w:trPr>
        <w:tc>
          <w:tcPr>
            <w:tcW w:w="5063" w:type="dxa"/>
          </w:tcPr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>Définir le courant Alternatif</w:t>
            </w:r>
          </w:p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>Définir courant Alternatif sinusoïdal</w:t>
            </w:r>
          </w:p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Connaitre la formule de l’intensité instantanée </w:t>
            </w:r>
          </w:p>
        </w:tc>
        <w:tc>
          <w:tcPr>
            <w:tcW w:w="5822" w:type="dxa"/>
          </w:tcPr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Reconnaitre les caractéristiques du courant alternatif </w:t>
            </w:r>
          </w:p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Différencier entre le courant alternatif et courant alternatif sinusoïdal </w:t>
            </w:r>
          </w:p>
        </w:tc>
        <w:tc>
          <w:tcPr>
            <w:tcW w:w="4633" w:type="dxa"/>
          </w:tcPr>
          <w:p w:rsidR="00837096" w:rsidRPr="00F975C4" w:rsidRDefault="00837096" w:rsidP="00651532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Appliquer la formule de l’intensité instantanée pour trouver ses caractéristiques 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8922"/>
        <w:tblW w:w="15417" w:type="dxa"/>
        <w:tblLook w:val="04A0"/>
      </w:tblPr>
      <w:tblGrid>
        <w:gridCol w:w="3369"/>
        <w:gridCol w:w="6662"/>
        <w:gridCol w:w="5386"/>
      </w:tblGrid>
      <w:tr w:rsidR="00C65D0C" w:rsidRPr="00EC5B91" w:rsidTr="00C65D0C">
        <w:tc>
          <w:tcPr>
            <w:tcW w:w="15417" w:type="dxa"/>
            <w:gridSpan w:val="3"/>
            <w:shd w:val="clear" w:color="auto" w:fill="D9D9D9" w:themeFill="background1" w:themeFillShade="D9"/>
          </w:tcPr>
          <w:p w:rsidR="00C65D0C" w:rsidRPr="00451F7B" w:rsidRDefault="00C65D0C" w:rsidP="00C65D0C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Chapitre -5-</w:t>
            </w:r>
            <w:r w:rsidRPr="00F975C4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Circuit électrique -Tension d’un secteur et Sécurité électrique</w:t>
            </w:r>
          </w:p>
        </w:tc>
      </w:tr>
      <w:tr w:rsidR="00C65D0C" w:rsidRPr="00EC5B91" w:rsidTr="00C65D0C">
        <w:tc>
          <w:tcPr>
            <w:tcW w:w="3369" w:type="dxa"/>
          </w:tcPr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Les éléments électriques d’un circuit électrique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Les types des circuits électriques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Les lois de tension et du courant dans le circuit électrique  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Les caractéristiques de la tension du secteur </w:t>
            </w:r>
          </w:p>
          <w:p w:rsidR="00C65D0C" w:rsidRPr="00BF696F" w:rsidRDefault="00C65D0C" w:rsidP="00C65D0C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662" w:type="dxa"/>
          </w:tcPr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Etudier les caractéristiques (U-I) (résistance, générateur et récepteur)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Reconnaitre la loi de l’unicité et d’addition de la tension électrique et du courant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Connaitre le groupement des générateurs et résistances (en série, en parallèles)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Différencier entre les différents éléments de protection d’un circuit électrique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Identifier la couleur des gains des fils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Distinguer les bornes de prise de courant </w:t>
            </w:r>
          </w:p>
        </w:tc>
        <w:tc>
          <w:tcPr>
            <w:tcW w:w="5386" w:type="dxa"/>
          </w:tcPr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Appliquer la loi d’ohm aux bornes (résistance, générateur et  récepteur)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Réaliser les circuits en série et en parallèle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Appliquer la loi d’addition et d’unicité  du courant électrique  et de la tension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Réaliser le branchement des appareils électriques dans la maison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Conseils nécessaires à la protection de l’électrocution et l’incendie </w:t>
            </w:r>
          </w:p>
        </w:tc>
      </w:tr>
    </w:tbl>
    <w:p w:rsidR="00D41410" w:rsidRDefault="00D41410" w:rsidP="00837096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195ED2" w:rsidRDefault="00195ED2" w:rsidP="00EC5B91">
      <w:pPr>
        <w:tabs>
          <w:tab w:val="center" w:pos="6480"/>
          <w:tab w:val="left" w:pos="8425"/>
        </w:tabs>
        <w:bidi/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</w:t>
      </w:r>
    </w:p>
    <w:p w:rsidR="00195ED2" w:rsidRDefault="00195ED2" w:rsidP="00195ED2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sectPr w:rsidR="00195ED2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76A7D"/>
    <w:multiLevelType w:val="multilevel"/>
    <w:tmpl w:val="DA3CBF82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5C55D2"/>
    <w:multiLevelType w:val="multilevel"/>
    <w:tmpl w:val="0946066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B51E5"/>
    <w:multiLevelType w:val="hybridMultilevel"/>
    <w:tmpl w:val="16286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B18D4"/>
    <w:multiLevelType w:val="multilevel"/>
    <w:tmpl w:val="3B8A809E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36DF4"/>
    <w:multiLevelType w:val="hybridMultilevel"/>
    <w:tmpl w:val="F4D2B5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8460F"/>
    <w:multiLevelType w:val="hybridMultilevel"/>
    <w:tmpl w:val="BDFE50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94FDB"/>
    <w:multiLevelType w:val="hybridMultilevel"/>
    <w:tmpl w:val="A6244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663A51"/>
    <w:multiLevelType w:val="hybridMultilevel"/>
    <w:tmpl w:val="714A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056160"/>
    <w:multiLevelType w:val="hybridMultilevel"/>
    <w:tmpl w:val="1D800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32384"/>
    <w:multiLevelType w:val="hybridMultilevel"/>
    <w:tmpl w:val="8160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>
    <w:nsid w:val="4EB1133B"/>
    <w:multiLevelType w:val="hybridMultilevel"/>
    <w:tmpl w:val="81DA0F64"/>
    <w:lvl w:ilvl="0" w:tplc="A87C281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620431F"/>
    <w:multiLevelType w:val="hybridMultilevel"/>
    <w:tmpl w:val="06F4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23478"/>
    <w:multiLevelType w:val="multilevel"/>
    <w:tmpl w:val="0458EC6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8937AC"/>
    <w:multiLevelType w:val="multilevel"/>
    <w:tmpl w:val="004CDC96"/>
    <w:lvl w:ilvl="0">
      <w:start w:val="1"/>
      <w:numFmt w:val="bullet"/>
      <w:lvlText w:val=""/>
      <w:lvlJc w:val="left"/>
      <w:rPr>
        <w:rFonts w:ascii="Wingdings" w:hAnsi="Wingdings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9245A2C"/>
    <w:multiLevelType w:val="hybridMultilevel"/>
    <w:tmpl w:val="E7AC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662AD5"/>
    <w:multiLevelType w:val="hybridMultilevel"/>
    <w:tmpl w:val="27A8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2962C9"/>
    <w:multiLevelType w:val="hybridMultilevel"/>
    <w:tmpl w:val="027826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207974"/>
    <w:multiLevelType w:val="multilevel"/>
    <w:tmpl w:val="3390884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A77044E"/>
    <w:multiLevelType w:val="hybridMultilevel"/>
    <w:tmpl w:val="86866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C3315BE"/>
    <w:multiLevelType w:val="multilevel"/>
    <w:tmpl w:val="3044EEB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D672E19"/>
    <w:multiLevelType w:val="hybridMultilevel"/>
    <w:tmpl w:val="F74EF0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B16F5"/>
    <w:multiLevelType w:val="multilevel"/>
    <w:tmpl w:val="C96A647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32"/>
  </w:num>
  <w:num w:numId="3">
    <w:abstractNumId w:val="5"/>
  </w:num>
  <w:num w:numId="4">
    <w:abstractNumId w:val="4"/>
  </w:num>
  <w:num w:numId="5">
    <w:abstractNumId w:val="2"/>
  </w:num>
  <w:num w:numId="6">
    <w:abstractNumId w:val="37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3"/>
  </w:num>
  <w:num w:numId="10">
    <w:abstractNumId w:val="18"/>
  </w:num>
  <w:num w:numId="11">
    <w:abstractNumId w:val="27"/>
  </w:num>
  <w:num w:numId="12">
    <w:abstractNumId w:val="20"/>
  </w:num>
  <w:num w:numId="13">
    <w:abstractNumId w:val="7"/>
  </w:num>
  <w:num w:numId="14">
    <w:abstractNumId w:val="30"/>
  </w:num>
  <w:num w:numId="15">
    <w:abstractNumId w:val="31"/>
  </w:num>
  <w:num w:numId="16">
    <w:abstractNumId w:val="11"/>
  </w:num>
  <w:num w:numId="17">
    <w:abstractNumId w:val="38"/>
  </w:num>
  <w:num w:numId="18">
    <w:abstractNumId w:val="44"/>
  </w:num>
  <w:num w:numId="19">
    <w:abstractNumId w:val="42"/>
  </w:num>
  <w:num w:numId="20">
    <w:abstractNumId w:val="3"/>
  </w:num>
  <w:num w:numId="21">
    <w:abstractNumId w:val="28"/>
  </w:num>
  <w:num w:numId="22">
    <w:abstractNumId w:val="6"/>
  </w:num>
  <w:num w:numId="23">
    <w:abstractNumId w:val="41"/>
  </w:num>
  <w:num w:numId="24">
    <w:abstractNumId w:val="8"/>
  </w:num>
  <w:num w:numId="25">
    <w:abstractNumId w:val="1"/>
  </w:num>
  <w:num w:numId="26">
    <w:abstractNumId w:val="14"/>
  </w:num>
  <w:num w:numId="27">
    <w:abstractNumId w:val="24"/>
  </w:num>
  <w:num w:numId="28">
    <w:abstractNumId w:val="10"/>
  </w:num>
  <w:num w:numId="29">
    <w:abstractNumId w:val="34"/>
  </w:num>
  <w:num w:numId="30">
    <w:abstractNumId w:val="19"/>
  </w:num>
  <w:num w:numId="31">
    <w:abstractNumId w:val="29"/>
  </w:num>
  <w:num w:numId="32">
    <w:abstractNumId w:val="22"/>
  </w:num>
  <w:num w:numId="33">
    <w:abstractNumId w:val="21"/>
  </w:num>
  <w:num w:numId="34">
    <w:abstractNumId w:val="35"/>
  </w:num>
  <w:num w:numId="35">
    <w:abstractNumId w:val="13"/>
  </w:num>
  <w:num w:numId="36">
    <w:abstractNumId w:val="12"/>
  </w:num>
  <w:num w:numId="37">
    <w:abstractNumId w:val="9"/>
  </w:num>
  <w:num w:numId="38">
    <w:abstractNumId w:val="17"/>
  </w:num>
  <w:num w:numId="39">
    <w:abstractNumId w:val="25"/>
  </w:num>
  <w:num w:numId="40">
    <w:abstractNumId w:val="23"/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16"/>
  </w:num>
  <w:num w:numId="44">
    <w:abstractNumId w:val="40"/>
  </w:num>
  <w:num w:numId="45">
    <w:abstractNumId w:val="36"/>
  </w:num>
  <w:num w:numId="46">
    <w:abstractNumId w:val="26"/>
  </w:num>
  <w:num w:numId="47">
    <w:abstractNumId w:val="1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B2E22"/>
    <w:rsid w:val="0000110E"/>
    <w:rsid w:val="00005FE4"/>
    <w:rsid w:val="00015731"/>
    <w:rsid w:val="0004042F"/>
    <w:rsid w:val="00045FD0"/>
    <w:rsid w:val="00062B22"/>
    <w:rsid w:val="00082609"/>
    <w:rsid w:val="000845EC"/>
    <w:rsid w:val="000A218D"/>
    <w:rsid w:val="000A4147"/>
    <w:rsid w:val="000D3B27"/>
    <w:rsid w:val="000E015C"/>
    <w:rsid w:val="000E1EF0"/>
    <w:rsid w:val="001014BF"/>
    <w:rsid w:val="00113800"/>
    <w:rsid w:val="00144A3D"/>
    <w:rsid w:val="001526F3"/>
    <w:rsid w:val="00182B97"/>
    <w:rsid w:val="00194E72"/>
    <w:rsid w:val="00195ED2"/>
    <w:rsid w:val="001A5EFF"/>
    <w:rsid w:val="001B42FE"/>
    <w:rsid w:val="001D1144"/>
    <w:rsid w:val="0020372A"/>
    <w:rsid w:val="0020662B"/>
    <w:rsid w:val="002B0A72"/>
    <w:rsid w:val="002C2494"/>
    <w:rsid w:val="002E6401"/>
    <w:rsid w:val="002F517F"/>
    <w:rsid w:val="002F624B"/>
    <w:rsid w:val="00304942"/>
    <w:rsid w:val="00327A0E"/>
    <w:rsid w:val="00343D57"/>
    <w:rsid w:val="0036564F"/>
    <w:rsid w:val="00382BEC"/>
    <w:rsid w:val="00395628"/>
    <w:rsid w:val="003B3471"/>
    <w:rsid w:val="003B5FCC"/>
    <w:rsid w:val="003C2BCE"/>
    <w:rsid w:val="003C3780"/>
    <w:rsid w:val="003C5D62"/>
    <w:rsid w:val="003D509B"/>
    <w:rsid w:val="003D6C22"/>
    <w:rsid w:val="0040518B"/>
    <w:rsid w:val="004637CD"/>
    <w:rsid w:val="00471667"/>
    <w:rsid w:val="00474734"/>
    <w:rsid w:val="00474DCA"/>
    <w:rsid w:val="0048687B"/>
    <w:rsid w:val="00487BDC"/>
    <w:rsid w:val="0049725D"/>
    <w:rsid w:val="004C35BB"/>
    <w:rsid w:val="004C6A3A"/>
    <w:rsid w:val="00506ECD"/>
    <w:rsid w:val="005152F9"/>
    <w:rsid w:val="0052472F"/>
    <w:rsid w:val="00531E0F"/>
    <w:rsid w:val="005411B4"/>
    <w:rsid w:val="00546F84"/>
    <w:rsid w:val="0057111A"/>
    <w:rsid w:val="00574ED0"/>
    <w:rsid w:val="00587DDA"/>
    <w:rsid w:val="00594907"/>
    <w:rsid w:val="005B7A27"/>
    <w:rsid w:val="005C78D3"/>
    <w:rsid w:val="005D5935"/>
    <w:rsid w:val="00615DA5"/>
    <w:rsid w:val="00630755"/>
    <w:rsid w:val="006419C3"/>
    <w:rsid w:val="00651532"/>
    <w:rsid w:val="00665D33"/>
    <w:rsid w:val="0067389D"/>
    <w:rsid w:val="006745C7"/>
    <w:rsid w:val="006924FB"/>
    <w:rsid w:val="006A499A"/>
    <w:rsid w:val="006B0CB5"/>
    <w:rsid w:val="006B37A6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53C3C"/>
    <w:rsid w:val="007605E4"/>
    <w:rsid w:val="00782935"/>
    <w:rsid w:val="00792508"/>
    <w:rsid w:val="007A23C5"/>
    <w:rsid w:val="007A66F4"/>
    <w:rsid w:val="007B5D0C"/>
    <w:rsid w:val="007D0CF9"/>
    <w:rsid w:val="007F7E3E"/>
    <w:rsid w:val="00813CA8"/>
    <w:rsid w:val="00837096"/>
    <w:rsid w:val="00872613"/>
    <w:rsid w:val="008935E4"/>
    <w:rsid w:val="00893BBE"/>
    <w:rsid w:val="008A1C38"/>
    <w:rsid w:val="008D4DC9"/>
    <w:rsid w:val="008F3B25"/>
    <w:rsid w:val="008F718D"/>
    <w:rsid w:val="0090730B"/>
    <w:rsid w:val="00912A25"/>
    <w:rsid w:val="00920DF7"/>
    <w:rsid w:val="009551D8"/>
    <w:rsid w:val="009A7236"/>
    <w:rsid w:val="009B2E22"/>
    <w:rsid w:val="009C6391"/>
    <w:rsid w:val="009E5797"/>
    <w:rsid w:val="009F5386"/>
    <w:rsid w:val="00A27175"/>
    <w:rsid w:val="00A57B08"/>
    <w:rsid w:val="00A72A67"/>
    <w:rsid w:val="00A775B1"/>
    <w:rsid w:val="00A92244"/>
    <w:rsid w:val="00A956CC"/>
    <w:rsid w:val="00AC36FA"/>
    <w:rsid w:val="00AC4D4F"/>
    <w:rsid w:val="00B2045E"/>
    <w:rsid w:val="00B26A2C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A3448"/>
    <w:rsid w:val="00CB0413"/>
    <w:rsid w:val="00CC3B05"/>
    <w:rsid w:val="00CD5D55"/>
    <w:rsid w:val="00CE729D"/>
    <w:rsid w:val="00CF0866"/>
    <w:rsid w:val="00D00D55"/>
    <w:rsid w:val="00D02DD7"/>
    <w:rsid w:val="00D069DF"/>
    <w:rsid w:val="00D176E6"/>
    <w:rsid w:val="00D30087"/>
    <w:rsid w:val="00D41410"/>
    <w:rsid w:val="00D5191D"/>
    <w:rsid w:val="00D5698E"/>
    <w:rsid w:val="00D85CFB"/>
    <w:rsid w:val="00D86AF5"/>
    <w:rsid w:val="00DA0002"/>
    <w:rsid w:val="00DC7BB8"/>
    <w:rsid w:val="00DD4A7C"/>
    <w:rsid w:val="00E01982"/>
    <w:rsid w:val="00E24CD2"/>
    <w:rsid w:val="00E44391"/>
    <w:rsid w:val="00E53FEE"/>
    <w:rsid w:val="00E705D9"/>
    <w:rsid w:val="00E83E0F"/>
    <w:rsid w:val="00E95D6F"/>
    <w:rsid w:val="00E963C2"/>
    <w:rsid w:val="00EA6FDD"/>
    <w:rsid w:val="00EA76A5"/>
    <w:rsid w:val="00EB4BA5"/>
    <w:rsid w:val="00EC456D"/>
    <w:rsid w:val="00EC5B91"/>
    <w:rsid w:val="00EE462F"/>
    <w:rsid w:val="00EF0D43"/>
    <w:rsid w:val="00EF7489"/>
    <w:rsid w:val="00F07033"/>
    <w:rsid w:val="00F11175"/>
    <w:rsid w:val="00F33776"/>
    <w:rsid w:val="00F36470"/>
    <w:rsid w:val="00F42E4A"/>
    <w:rsid w:val="00F5610E"/>
    <w:rsid w:val="00F72DCD"/>
    <w:rsid w:val="00F75B82"/>
    <w:rsid w:val="00F77FB7"/>
    <w:rsid w:val="00F805F8"/>
    <w:rsid w:val="00F97493"/>
    <w:rsid w:val="00F975C4"/>
    <w:rsid w:val="00FA294D"/>
    <w:rsid w:val="00FC5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2902</TotalTime>
  <Pages>2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2020-09-24T17:00:00Z</dcterms:created>
  <dcterms:modified xsi:type="dcterms:W3CDTF">2020-11-02T10:27:00Z</dcterms:modified>
</cp:coreProperties>
</file>